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 w:leader="none" w:pos="4677" w:val="center"/>
          <w:tab w:leader="none" w:pos="6936" w:val="left"/>
        </w:tabs>
        <w:spacing w:after="0" w:before="0" w:line="100" w:lineRule="atLeast"/>
        <w:jc w:val="center"/>
      </w:pPr>
      <w:r>
        <w:rPr>
          <w:rFonts w:ascii="Times New Roman" w:cs="Times New Roman" w:hAnsi="Times New Roman"/>
          <w:b/>
          <w:sz w:val="28"/>
          <w:szCs w:val="28"/>
        </w:rPr>
        <w:t xml:space="preserve">Заключение </w:t>
      </w:r>
    </w:p>
    <w:p>
      <w:pPr>
        <w:pStyle w:val="style0"/>
        <w:tabs>
          <w:tab w:leader="none" w:pos="708" w:val="left"/>
          <w:tab w:leader="none" w:pos="4677" w:val="center"/>
          <w:tab w:leader="none" w:pos="6936" w:val="left"/>
        </w:tabs>
        <w:spacing w:after="0" w:before="0" w:line="100" w:lineRule="atLeast"/>
        <w:jc w:val="center"/>
      </w:pPr>
      <w:r>
        <w:rPr>
          <w:rFonts w:ascii="Times New Roman" w:cs="Times New Roman" w:hAnsi="Times New Roman"/>
          <w:b/>
          <w:sz w:val="28"/>
          <w:szCs w:val="28"/>
        </w:rPr>
        <w:t>Комиссии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w:t>
      </w:r>
      <w:r>
        <w:rPr>
          <w:rFonts w:ascii="Times New Roman" w:cs="Times New Roman" w:eastAsia="Times New Roman" w:hAnsi="Times New Roman"/>
          <w:b/>
          <w:sz w:val="28"/>
          <w:szCs w:val="28"/>
          <w:lang w:eastAsia="ru-RU"/>
        </w:rPr>
        <w:t xml:space="preserve"> </w:t>
      </w:r>
    </w:p>
    <w:p>
      <w:pPr>
        <w:pStyle w:val="style0"/>
        <w:tabs>
          <w:tab w:leader="none" w:pos="708" w:val="left"/>
          <w:tab w:leader="none" w:pos="4677" w:val="center"/>
          <w:tab w:leader="none" w:pos="6936" w:val="left"/>
        </w:tabs>
        <w:spacing w:after="0" w:before="0" w:line="100" w:lineRule="atLeast"/>
        <w:jc w:val="center"/>
      </w:pPr>
      <w:r>
        <w:rPr>
          <w:rFonts w:ascii="Times New Roman" w:cs="Times New Roman" w:eastAsia="Times New Roman" w:hAnsi="Times New Roman"/>
          <w:b/>
          <w:sz w:val="28"/>
          <w:szCs w:val="28"/>
          <w:lang w:eastAsia="ru-RU"/>
        </w:rPr>
        <w:t xml:space="preserve">на проект решения </w:t>
      </w:r>
      <w:r>
        <w:rPr>
          <w:rFonts w:ascii="Times New Roman" w:cs="Times New Roman" w:eastAsia="Times New Roman" w:hAnsi="Times New Roman"/>
          <w:b/>
          <w:bCs/>
          <w:sz w:val="28"/>
          <w:szCs w:val="28"/>
          <w:lang w:eastAsia="ru-RU"/>
        </w:rPr>
        <w:t xml:space="preserve">Собрания представителей сельского поселения </w:t>
      </w:r>
      <w:r>
        <w:rPr>
          <w:rFonts w:ascii="Times New Roman" w:cs="Times New Roman" w:hAnsi="Times New Roman"/>
          <w:b/>
          <w:sz w:val="28"/>
          <w:szCs w:val="28"/>
        </w:rPr>
        <w:t xml:space="preserve">Красная Поляна </w:t>
      </w:r>
      <w:r>
        <w:rPr>
          <w:rFonts w:ascii="Times New Roman" w:cs="Times New Roman" w:eastAsia="Times New Roman" w:hAnsi="Times New Roman"/>
          <w:b/>
          <w:bCs/>
          <w:sz w:val="28"/>
          <w:szCs w:val="28"/>
          <w:lang w:eastAsia="ru-RU"/>
        </w:rPr>
        <w:t xml:space="preserve">муниципального района Пестравский Самарской области «О  бюджете сельского поселения </w:t>
      </w:r>
      <w:r>
        <w:rPr>
          <w:rFonts w:ascii="Times New Roman" w:cs="Times New Roman" w:hAnsi="Times New Roman"/>
          <w:b/>
          <w:sz w:val="28"/>
          <w:szCs w:val="28"/>
        </w:rPr>
        <w:t xml:space="preserve">Красная Поляна </w:t>
      </w:r>
      <w:r>
        <w:rPr>
          <w:rFonts w:ascii="Times New Roman" w:cs="Times New Roman" w:eastAsia="Times New Roman" w:hAnsi="Times New Roman"/>
          <w:b/>
          <w:bCs/>
          <w:sz w:val="28"/>
          <w:szCs w:val="28"/>
          <w:lang w:eastAsia="ru-RU"/>
        </w:rPr>
        <w:t>муниципального района Пестравский Самарской области на 2021 год ».</w:t>
      </w:r>
    </w:p>
    <w:p>
      <w:pPr>
        <w:pStyle w:val="style0"/>
        <w:tabs>
          <w:tab w:leader="none" w:pos="708" w:val="left"/>
          <w:tab w:leader="none" w:pos="4677" w:val="center"/>
          <w:tab w:leader="none" w:pos="6936" w:val="left"/>
        </w:tabs>
        <w:spacing w:after="0" w:before="0" w:line="100" w:lineRule="atLeast"/>
        <w:jc w:val="center"/>
      </w:pPr>
      <w:r>
        <w:rPr/>
      </w:r>
    </w:p>
    <w:p>
      <w:pPr>
        <w:pStyle w:val="style0"/>
        <w:tabs>
          <w:tab w:leader="none" w:pos="708" w:val="left"/>
          <w:tab w:leader="none" w:pos="4677" w:val="center"/>
          <w:tab w:leader="none" w:pos="6936" w:val="left"/>
        </w:tabs>
      </w:pPr>
      <w:r>
        <w:rPr>
          <w:rFonts w:ascii="Times New Roman" w:cs="Times New Roman" w:hAnsi="Times New Roman"/>
          <w:sz w:val="28"/>
          <w:szCs w:val="28"/>
        </w:rPr>
        <w:t xml:space="preserve">с. Красная Поляна                                                                   «17» ноября 2020 г.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Заключение комиссии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(далее – комиссия) на проект решения Собрания представителей сельского поселения Красная Поляна муниципального района Пестравский Самарской области «О бюджете сельского поселения Красная Поляна муниципального района Пестравский Самарской области на 2021 год» (далее – проект решения) подготовлено с учетом требований Бюджетного кодекса Российской Федерации (далее – БК РФ), Положения о бюджетном устройстве и бюджетном процессе в сельском поселении Красная Поляна муниципальном районе Пестравский Самарской области (далее – Положение о бюджетном процессе), Положения о комиссии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иных действующих законодательных и нормативно-правовых актов.</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Проект Решения представлен в комиссию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для проведения экспертизы и подготовки заключения 13 ноября 2020 года, что соответствует</w:t>
      </w:r>
      <w:r>
        <w:rPr/>
        <w:t xml:space="preserve"> </w:t>
      </w:r>
      <w:r>
        <w:rPr>
          <w:rFonts w:ascii="Times New Roman" w:cs="Times New Roman" w:hAnsi="Times New Roman"/>
          <w:sz w:val="28"/>
          <w:szCs w:val="28"/>
        </w:rPr>
        <w:t>Положению о бюджетном процессе. Комиссия, рассмотрев проект решения, отмечает следующее.</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В соответствии со ст.169 БК РФ и Положением о бюджетном процессе проект бюджета разработан на 1 год.</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Формирование бюджета сельского поселения Красная Поляна проводилось на основании  оценки ожидаемого исполнения бюджета текущего года, основных направлений развития сельского поселения, которые предусматривают социально ориентированную направленность, усиление его роли в стимулировании роста экономики, повышения качества жизни населения.</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представленном проекте бюджета сельского поселения Красная Поляна муниципального района  Пестравский  Самарской области на 2021 год </w:t>
      </w:r>
      <w:r>
        <w:rPr>
          <w:rFonts w:ascii="Times New Roman" w:cs="Times New Roman" w:hAnsi="Times New Roman"/>
          <w:b/>
          <w:sz w:val="28"/>
          <w:szCs w:val="28"/>
        </w:rPr>
        <w:t xml:space="preserve">доходы местного бюджета </w:t>
      </w:r>
      <w:r>
        <w:rPr>
          <w:rFonts w:ascii="Times New Roman" w:cs="Times New Roman" w:hAnsi="Times New Roman"/>
          <w:sz w:val="28"/>
          <w:szCs w:val="28"/>
        </w:rPr>
        <w:t>запланированы:</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в размере 4759,441 тыс. рублей,</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b/>
          <w:sz w:val="28"/>
          <w:szCs w:val="28"/>
        </w:rPr>
        <w:t>расходы местного бюджета</w:t>
      </w:r>
      <w:r>
        <w:rPr>
          <w:rFonts w:ascii="Times New Roman" w:cs="Times New Roman" w:hAnsi="Times New Roman"/>
          <w:sz w:val="28"/>
          <w:szCs w:val="28"/>
        </w:rPr>
        <w:t xml:space="preserve"> запланированы:</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в размере 4759,441 тыс. рублей.</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Проект бюджета спрогнозирован без дефицита (профицита).</w:t>
      </w:r>
    </w:p>
    <w:p>
      <w:pPr>
        <w:pStyle w:val="style0"/>
        <w:tabs>
          <w:tab w:leader="none" w:pos="708" w:val="left"/>
          <w:tab w:leader="none" w:pos="4677" w:val="center"/>
          <w:tab w:leader="none" w:pos="6936" w:val="left"/>
        </w:tabs>
        <w:spacing w:after="0" w:before="0" w:line="100" w:lineRule="atLeast"/>
        <w:jc w:val="both"/>
      </w:pPr>
      <w:r>
        <w:rPr/>
      </w:r>
    </w:p>
    <w:p>
      <w:pPr>
        <w:pStyle w:val="style0"/>
        <w:tabs>
          <w:tab w:leader="none" w:pos="708" w:val="left"/>
          <w:tab w:leader="none" w:pos="4677" w:val="center"/>
          <w:tab w:leader="none" w:pos="6936" w:val="left"/>
        </w:tabs>
        <w:spacing w:after="0" w:before="0" w:line="276" w:lineRule="auto"/>
        <w:jc w:val="center"/>
      </w:pPr>
      <w:r>
        <w:rPr>
          <w:rFonts w:ascii="Times New Roman" w:cs="Times New Roman" w:hAnsi="Times New Roman"/>
          <w:b/>
          <w:sz w:val="28"/>
          <w:szCs w:val="28"/>
        </w:rPr>
        <w:t>Анализ доходной части бюджета сельского поселения.</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Прогноз налоговых и неналоговых доходов бюджета сельского поселения  рассчитан исходя из фактических поступлений 2019 года, ожидаемых объемов по итогам 2020 года с учетом методик прогнозирования поступлений доходов бюджета, на основании налоговой отчетности и прогнозных значений.</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Структура доходов бюджета на 2021 год предоставлена в следующей таблице (тыс. руб.)</w:t>
      </w:r>
    </w:p>
    <w:tbl>
      <w:tblPr>
        <w:jc w:val="left"/>
        <w:tblInd w:type="dxa" w:w="-216"/>
        <w:tblBorders/>
      </w:tblPr>
      <w:tblGrid>
        <w:gridCol w:w="2091"/>
        <w:gridCol w:w="5810"/>
        <w:gridCol w:w="1670"/>
      </w:tblGrid>
      <w:tr>
        <w:trPr>
          <w:cantSplit w:val="false"/>
        </w:trPr>
        <w:tc>
          <w:tcPr>
            <w:tcW w:type="dxa" w:w="2091"/>
            <w:tcBorders/>
            <w:shd w:fill="FFFFFF" w:val="clear"/>
            <w:tcMar>
              <w:top w:type="dxa" w:w="0"/>
              <w:left w:type="dxa" w:w="108"/>
              <w:bottom w:type="dxa" w:w="0"/>
              <w:right w:type="dxa" w:w="108"/>
            </w:tcMar>
          </w:tcPr>
          <w:p>
            <w:pPr>
              <w:pStyle w:val="style0"/>
              <w:spacing w:after="160" w:before="0"/>
              <w:jc w:val="center"/>
            </w:pPr>
            <w:r>
              <w:rPr>
                <w:rFonts w:ascii="Times New Roman" w:cs="Times New Roman" w:hAnsi="Times New Roman"/>
                <w:sz w:val="28"/>
                <w:szCs w:val="28"/>
              </w:rPr>
              <w:t>Код</w:t>
            </w:r>
          </w:p>
        </w:tc>
        <w:tc>
          <w:tcPr>
            <w:tcW w:type="dxa" w:w="5810"/>
            <w:tcBorders/>
            <w:shd w:fill="FFFFFF" w:val="clear"/>
            <w:tcMar>
              <w:top w:type="dxa" w:w="0"/>
              <w:left w:type="dxa" w:w="108"/>
              <w:bottom w:type="dxa" w:w="0"/>
              <w:right w:type="dxa" w:w="108"/>
            </w:tcMar>
          </w:tcPr>
          <w:p>
            <w:pPr>
              <w:pStyle w:val="style0"/>
              <w:spacing w:after="160" w:before="0"/>
              <w:jc w:val="center"/>
            </w:pPr>
            <w:r>
              <w:rPr>
                <w:rFonts w:ascii="Times New Roman" w:cs="Times New Roman" w:hAnsi="Times New Roman"/>
                <w:sz w:val="28"/>
                <w:szCs w:val="28"/>
              </w:rPr>
              <w:t>Наименование</w:t>
            </w:r>
          </w:p>
        </w:tc>
        <w:tc>
          <w:tcPr>
            <w:tcW w:type="dxa" w:w="1670"/>
            <w:tcBorders/>
            <w:shd w:fill="FFFFFF" w:val="clear"/>
            <w:tcMar>
              <w:top w:type="dxa" w:w="0"/>
              <w:left w:type="dxa" w:w="108"/>
              <w:bottom w:type="dxa" w:w="0"/>
              <w:right w:type="dxa" w:w="108"/>
            </w:tcMar>
          </w:tcPr>
          <w:p>
            <w:pPr>
              <w:pStyle w:val="style0"/>
              <w:spacing w:after="160" w:before="0"/>
              <w:jc w:val="center"/>
            </w:pPr>
            <w:r>
              <w:rPr>
                <w:rFonts w:ascii="Times New Roman" w:cs="Times New Roman" w:hAnsi="Times New Roman"/>
                <w:sz w:val="28"/>
                <w:szCs w:val="28"/>
              </w:rPr>
              <w:t>Сумма</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
          </w:p>
        </w:tc>
        <w:tc>
          <w:tcPr>
            <w:tcW w:type="dxa" w:w="5810"/>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b/>
                <w:sz w:val="28"/>
                <w:szCs w:val="28"/>
              </w:rPr>
              <w:t>Налоговые доходы</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8"/>
                <w:szCs w:val="28"/>
              </w:rPr>
              <w:t>3976,968</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182 1 01 02000 10 0000 110</w:t>
            </w:r>
          </w:p>
        </w:tc>
        <w:tc>
          <w:tcPr>
            <w:tcW w:type="dxa" w:w="5810"/>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Налог на доходы физических лиц</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284,727</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182 1 05 03000 01 0000 110</w:t>
            </w:r>
          </w:p>
        </w:tc>
        <w:tc>
          <w:tcPr>
            <w:tcW w:type="dxa" w:w="5810"/>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Единый сельскохозяйственный налог</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543,911</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100 1 03 02200 01 0000 110</w:t>
            </w:r>
          </w:p>
        </w:tc>
        <w:tc>
          <w:tcPr>
            <w:tcW w:type="dxa" w:w="5810"/>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Доходы от уплаты акцизов</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2199,930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100 1 03 02230 01 0000 110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Доходы от уплаты акцизов на дизельное топливо</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796,000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100 1 03 02240 01 0000 110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Доходы от уплаты акцизов на моторное масло</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5,000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100 1 03 02250 01 0000 110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Доходы от уплаты акцизов на автомобильный бензин</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1543,000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100 1 03 02260 01 0000 110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Доходы от уплаты акцизов на прямогонный бензин</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-144,070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8"/>
                <w:szCs w:val="28"/>
              </w:rPr>
              <w:t>Налоги на имущество</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8"/>
                <w:szCs w:val="28"/>
              </w:rPr>
              <w:t>948,400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182 1 06 01030 10 0000 110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70,400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182 1 06 06000 10 0000 110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Земельный налог</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878,000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182 1 06 06033 10 0000 110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Земельный налог с организаций, обладающих земельным участком, расположенным  в границах сельских поселений</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170,000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182 1 06 06043 10 0000 110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Земельный налог с физических лиц, обладающих земельным участком, расположенным  в границах сельских поселений</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708,000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b/>
                <w:sz w:val="28"/>
                <w:szCs w:val="28"/>
              </w:rPr>
              <w:t>Неналоговые доходы</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8"/>
                <w:szCs w:val="28"/>
              </w:rPr>
              <w:t>2,200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912 1 11 05035 10 0000 120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2,200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b/>
                <w:sz w:val="28"/>
                <w:szCs w:val="28"/>
              </w:rPr>
              <w:t>Итого</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8"/>
                <w:szCs w:val="28"/>
              </w:rPr>
              <w:t>3979,168</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389 2 02 01000 10 0000 150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b/>
                <w:sz w:val="28"/>
                <w:szCs w:val="28"/>
              </w:rPr>
              <w:t>Безвозмездные поступления</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8"/>
                <w:szCs w:val="28"/>
              </w:rPr>
              <w:t>780,273</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389 2 02 10001 10 0000 150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Дотации от других бюджетов бюджетной системы РФ</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74,073</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389 2 02 10001 10 0000 150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Дотация на выравнивание уровня бюджетной обеспеченности (из районного бюджета)</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sz w:val="20"/>
                <w:szCs w:val="20"/>
              </w:rPr>
              <w:t>74,073</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389 2 02 49999 10 0000 150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sz w:val="20"/>
                <w:szCs w:val="20"/>
              </w:rPr>
              <w:t>Прочие межбюджетные трансферты, передаваемые бюджетам сельских поселений</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0"/>
                <w:szCs w:val="20"/>
              </w:rPr>
              <w:t>706,200</w:t>
            </w:r>
          </w:p>
        </w:tc>
      </w:tr>
      <w:tr>
        <w:trPr>
          <w:cantSplit w:val="false"/>
        </w:trPr>
        <w:tc>
          <w:tcPr>
            <w:tcW w:type="dxa" w:w="2091"/>
            <w:tcBorders/>
            <w:shd w:fill="FFFFFF" w:val="clear"/>
            <w:tcMar>
              <w:top w:type="dxa" w:w="0"/>
              <w:left w:type="dxa" w:w="108"/>
              <w:bottom w:type="dxa" w:w="0"/>
              <w:right w:type="dxa" w:w="108"/>
            </w:tcMar>
          </w:tcPr>
          <w:p>
            <w:pPr>
              <w:pStyle w:val="style0"/>
              <w:spacing w:after="160" w:before="0"/>
              <w:jc w:val="both"/>
            </w:pPr>
            <w:r>
              <w:rPr>
                <w:rFonts w:ascii="Times New Roman" w:cs="Times New Roman" w:hAnsi="Times New Roman"/>
                <w:sz w:val="20"/>
                <w:szCs w:val="20"/>
              </w:rPr>
              <w:t>389 8 50 00000 00 0000 000</w:t>
            </w:r>
          </w:p>
        </w:tc>
        <w:tc>
          <w:tcPr>
            <w:tcW w:type="dxa" w:w="5810"/>
            <w:tcBorders/>
            <w:shd w:fill="FFFFFF" w:val="clear"/>
            <w:tcMar>
              <w:top w:type="dxa" w:w="0"/>
              <w:left w:type="dxa" w:w="108"/>
              <w:bottom w:type="dxa" w:w="0"/>
              <w:right w:type="dxa" w:w="108"/>
            </w:tcMar>
          </w:tcPr>
          <w:p>
            <w:pPr>
              <w:pStyle w:val="style0"/>
              <w:widowControl/>
              <w:tabs>
                <w:tab w:leader="none" w:pos="708" w:val="left"/>
              </w:tabs>
              <w:suppressAutoHyphens w:val="true"/>
              <w:spacing w:after="160" w:before="0" w:line="254" w:lineRule="auto"/>
            </w:pPr>
            <w:r>
              <w:rPr>
                <w:rFonts w:ascii="Times New Roman" w:cs="Times New Roman" w:hAnsi="Times New Roman"/>
                <w:b/>
                <w:sz w:val="28"/>
                <w:szCs w:val="28"/>
              </w:rPr>
              <w:t>Итого доходов</w:t>
            </w:r>
          </w:p>
        </w:tc>
        <w:tc>
          <w:tcPr>
            <w:tcW w:type="dxa" w:w="1670"/>
            <w:tcBorders/>
            <w:shd w:fill="FFFFFF" w:val="clear"/>
            <w:tcMar>
              <w:top w:type="dxa" w:w="0"/>
              <w:left w:type="dxa" w:w="108"/>
              <w:bottom w:type="dxa" w:w="0"/>
              <w:right w:type="dxa" w:w="108"/>
            </w:tcMar>
          </w:tcPr>
          <w:p>
            <w:pPr>
              <w:pStyle w:val="style0"/>
              <w:spacing w:after="160" w:before="0"/>
              <w:jc w:val="right"/>
            </w:pPr>
            <w:r>
              <w:rPr>
                <w:rFonts w:ascii="Times New Roman" w:cs="Times New Roman" w:hAnsi="Times New Roman"/>
                <w:b/>
                <w:sz w:val="28"/>
                <w:szCs w:val="28"/>
              </w:rPr>
              <w:t>4759,441</w:t>
            </w:r>
          </w:p>
        </w:tc>
      </w:tr>
    </w:tbl>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Прогноз налоговых и неналоговых доходов бюджета сельского поселения Красная Поляна составляет на 2021 год – 3979,168тыс. рублей –83,6% общих доходов. </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Основными источниками доходов местного бюджета являются налоговые доходы– 3976,968тыс. рублей –99,9% от налоговых и неналоговых доходов, в том числе:</w:t>
      </w:r>
    </w:p>
    <w:p>
      <w:pPr>
        <w:pStyle w:val="style0"/>
        <w:spacing w:after="0" w:before="0" w:line="100" w:lineRule="atLeast"/>
        <w:jc w:val="both"/>
      </w:pPr>
      <w:r>
        <w:rPr>
          <w:rFonts w:ascii="Times New Roman" w:cs="Times New Roman" w:hAnsi="Times New Roman"/>
          <w:sz w:val="28"/>
          <w:szCs w:val="28"/>
        </w:rPr>
        <w:t>-  налог на доходы физических лиц – 284,727тыс. руб. –7,2% от налоговых доходов;</w:t>
      </w:r>
    </w:p>
    <w:p>
      <w:pPr>
        <w:pStyle w:val="style0"/>
        <w:spacing w:after="0" w:before="0" w:line="100" w:lineRule="atLeast"/>
        <w:jc w:val="both"/>
      </w:pPr>
      <w:r>
        <w:rPr>
          <w:rFonts w:ascii="Times New Roman" w:cs="Times New Roman" w:hAnsi="Times New Roman"/>
          <w:sz w:val="28"/>
          <w:szCs w:val="28"/>
        </w:rPr>
        <w:t>- единый сельскохозяйственный налог– 543,911тыс. руб. –13,7% от налоговых доходов;</w:t>
      </w:r>
    </w:p>
    <w:p>
      <w:pPr>
        <w:pStyle w:val="style0"/>
        <w:spacing w:after="0" w:before="0" w:line="100" w:lineRule="atLeast"/>
        <w:jc w:val="both"/>
      </w:pPr>
      <w:r>
        <w:rPr>
          <w:rFonts w:ascii="Times New Roman" w:cs="Times New Roman" w:hAnsi="Times New Roman"/>
          <w:sz w:val="28"/>
          <w:szCs w:val="28"/>
        </w:rPr>
        <w:t>-  доходы от уплаты акцизов –2199,930тыс. руб. –55,3% от налоговых доходов;</w:t>
      </w:r>
    </w:p>
    <w:p>
      <w:pPr>
        <w:pStyle w:val="style0"/>
        <w:spacing w:after="0" w:before="0" w:line="100" w:lineRule="atLeast"/>
        <w:jc w:val="both"/>
      </w:pPr>
      <w:r>
        <w:rPr>
          <w:rFonts w:ascii="Times New Roman" w:cs="Times New Roman" w:hAnsi="Times New Roman"/>
          <w:sz w:val="28"/>
          <w:szCs w:val="28"/>
        </w:rPr>
        <w:t>-  налог на имущество физических лиц –70,400тыс. руб. –1,8% от налоговых доходов;</w:t>
      </w:r>
    </w:p>
    <w:p>
      <w:pPr>
        <w:pStyle w:val="style0"/>
        <w:spacing w:after="0" w:before="0" w:line="100" w:lineRule="atLeast"/>
        <w:jc w:val="both"/>
      </w:pPr>
      <w:r>
        <w:rPr>
          <w:rFonts w:ascii="Times New Roman" w:cs="Times New Roman" w:hAnsi="Times New Roman"/>
          <w:sz w:val="28"/>
          <w:szCs w:val="28"/>
        </w:rPr>
        <w:t>-  земельный налог –878,000тыс. руб. – 22,0% от налоговых доходов.</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Неналоговые доходы местного бюджета запланированы в сумме– 2,200тыс. рублей –  0,1% от налоговых и неналоговых доходов (доходы от использования имущества (арендные  платежи)).</w:t>
      </w:r>
    </w:p>
    <w:p>
      <w:pPr>
        <w:pStyle w:val="style0"/>
        <w:spacing w:after="0" w:before="0" w:line="100" w:lineRule="atLeast"/>
        <w:jc w:val="both"/>
      </w:pPr>
      <w:r>
        <w:rPr>
          <w:rFonts w:ascii="Times New Roman" w:cs="Times New Roman" w:hAnsi="Times New Roman"/>
          <w:spacing w:val="1"/>
          <w:sz w:val="28"/>
          <w:szCs w:val="28"/>
        </w:rPr>
        <w:t xml:space="preserve">      </w:t>
      </w:r>
      <w:r>
        <w:rPr>
          <w:rFonts w:ascii="Times New Roman" w:cs="Times New Roman" w:hAnsi="Times New Roman"/>
          <w:spacing w:val="1"/>
          <w:sz w:val="28"/>
          <w:szCs w:val="28"/>
        </w:rPr>
        <w:t xml:space="preserve">Проект бюджета сельского поселения сформирован с учетом безвозмездных поступлений в сумме 780,273тыс. рублей </w:t>
      </w:r>
      <w:r>
        <w:rPr>
          <w:rFonts w:ascii="Times New Roman" w:cs="Times New Roman" w:hAnsi="Times New Roman"/>
          <w:sz w:val="28"/>
          <w:szCs w:val="28"/>
        </w:rPr>
        <w:t xml:space="preserve"> –16,4% общих доходов, в том числе:</w:t>
      </w:r>
    </w:p>
    <w:p>
      <w:pPr>
        <w:pStyle w:val="style0"/>
        <w:spacing w:after="0" w:before="0" w:line="100" w:lineRule="atLeast"/>
        <w:jc w:val="both"/>
      </w:pPr>
      <w:r>
        <w:rPr>
          <w:rFonts w:ascii="Times New Roman" w:cs="Times New Roman" w:hAnsi="Times New Roman"/>
          <w:sz w:val="28"/>
          <w:szCs w:val="28"/>
        </w:rPr>
        <w:t>-дотация на выравнивание уровня бюджетной обеспеченности – 74,073тыс. руб.;</w:t>
      </w:r>
    </w:p>
    <w:p>
      <w:pPr>
        <w:pStyle w:val="style0"/>
        <w:spacing w:after="0" w:before="0" w:line="100" w:lineRule="atLeast"/>
        <w:jc w:val="both"/>
      </w:pPr>
      <w:r>
        <w:rPr>
          <w:rFonts w:ascii="Times New Roman" w:cs="Times New Roman" w:hAnsi="Times New Roman"/>
          <w:sz w:val="28"/>
          <w:szCs w:val="28"/>
        </w:rPr>
        <w:t xml:space="preserve">-прочие межбюджетные трансферты, передаваемые бюджетам сельских поселений – 706,200тыс. руб. </w:t>
      </w:r>
    </w:p>
    <w:p>
      <w:pPr>
        <w:pStyle w:val="style0"/>
        <w:spacing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Формирование доходов бюджета сельского поселения будет находиться в прямой зависимости от предстоящих изменений бюджетного и налогового законодательства Российской Федерации, реальной оценки экономических показателей, фактической ситуации складывающейся с поступлением доходов.</w:t>
      </w:r>
    </w:p>
    <w:p>
      <w:pPr>
        <w:pStyle w:val="style0"/>
        <w:tabs>
          <w:tab w:leader="none" w:pos="708" w:val="left"/>
          <w:tab w:leader="none" w:pos="4677" w:val="center"/>
          <w:tab w:leader="none" w:pos="6936" w:val="left"/>
        </w:tabs>
        <w:spacing w:line="100" w:lineRule="atLeast"/>
        <w:jc w:val="both"/>
      </w:pPr>
      <w:r>
        <w:rPr>
          <w:rFonts w:ascii="Times New Roman" w:cs="Times New Roman" w:hAnsi="Times New Roman"/>
          <w:sz w:val="28"/>
          <w:szCs w:val="28"/>
        </w:rPr>
        <w:t xml:space="preserve">        </w:t>
      </w:r>
      <w:r>
        <w:rPr>
          <w:rFonts w:ascii="Times New Roman" w:cs="Times New Roman" w:hAnsi="Times New Roman"/>
          <w:b/>
          <w:sz w:val="28"/>
          <w:szCs w:val="28"/>
        </w:rPr>
        <w:t>Анализ расходной части бюджета сельского поселения.</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Расходная часть проекта бюджета на 2021 год формировалась на основе расходных обязательств сельского поселения, с учетом прогнозируемого объема поступлений доходов местного бюджета,  а также утвержденных муниципальных программ на 2021 год.</w:t>
      </w:r>
    </w:p>
    <w:p>
      <w:pPr>
        <w:pStyle w:val="style0"/>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Структура расходов бюджета сельского поселения  в разрезе разделов классификации расходов бюджетов, бюджетной системы Российской Федерации, на 2021 год представлена в следующей таблице (тыс. руб.):</w:t>
      </w:r>
    </w:p>
    <w:tbl>
      <w:tblPr>
        <w:jc w:val="left"/>
        <w:tblInd w:type="dxa" w:w="-122"/>
        <w:tblBorders>
          <w:top w:color="00000A" w:space="0" w:sz="4" w:val="single"/>
          <w:left w:color="00000A" w:space="0" w:sz="4" w:val="single"/>
          <w:bottom w:color="00000A" w:space="0" w:sz="4" w:val="single"/>
          <w:right w:color="00000A" w:space="0" w:sz="4" w:val="single"/>
        </w:tblBorders>
      </w:tblPr>
      <w:tblGrid>
        <w:gridCol w:w="1061"/>
        <w:gridCol w:w="3908"/>
        <w:gridCol w:w="2273"/>
        <w:gridCol w:w="2234"/>
      </w:tblGrid>
      <w:tr>
        <w:trPr>
          <w:trHeight w:hRule="atLeast" w:val="780"/>
          <w:cantSplit w:val="false"/>
        </w:trPr>
        <w:tc>
          <w:tcPr>
            <w:tcW w:type="dxa" w:w="10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color w:val="000000"/>
                <w:sz w:val="28"/>
                <w:szCs w:val="28"/>
                <w:lang w:eastAsia="ru-RU"/>
              </w:rPr>
              <w:t>Раздел</w:t>
            </w:r>
          </w:p>
        </w:tc>
        <w:tc>
          <w:tcPr>
            <w:tcW w:type="dxa" w:w="390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color w:val="000000"/>
                <w:sz w:val="28"/>
                <w:szCs w:val="28"/>
                <w:lang w:eastAsia="ru-RU"/>
              </w:rPr>
              <w:t>Наименование раздела</w:t>
            </w:r>
          </w:p>
        </w:tc>
        <w:tc>
          <w:tcPr>
            <w:tcW w:type="dxa" w:w="227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color w:val="000000"/>
                <w:sz w:val="28"/>
                <w:szCs w:val="28"/>
                <w:lang w:eastAsia="ru-RU"/>
              </w:rPr>
              <w:t>Сумма</w:t>
            </w:r>
          </w:p>
        </w:tc>
        <w:tc>
          <w:tcPr>
            <w:tcW w:type="dxa" w:w="22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b/>
                <w:bCs/>
                <w:color w:val="000000"/>
                <w:sz w:val="28"/>
                <w:szCs w:val="28"/>
                <w:lang w:eastAsia="ru-RU"/>
              </w:rPr>
              <w:t>Удельный вес, %</w:t>
            </w:r>
          </w:p>
          <w:p>
            <w:pPr>
              <w:pStyle w:val="style0"/>
              <w:spacing w:after="0" w:before="0" w:line="100" w:lineRule="atLeast"/>
            </w:pPr>
            <w:r>
              <w:rPr/>
            </w:r>
          </w:p>
        </w:tc>
      </w:tr>
      <w:tr>
        <w:trPr>
          <w:trHeight w:hRule="atLeast" w:val="780"/>
          <w:cantSplit w:val="false"/>
        </w:trPr>
        <w:tc>
          <w:tcPr>
            <w:tcW w:type="dxa" w:w="106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color w:val="000000"/>
                <w:sz w:val="28"/>
                <w:szCs w:val="28"/>
                <w:lang w:eastAsia="ru-RU"/>
              </w:rPr>
              <w:t>01 00</w:t>
            </w:r>
          </w:p>
        </w:tc>
        <w:tc>
          <w:tcPr>
            <w:tcW w:type="dxa" w:w="39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color w:val="000000"/>
                <w:sz w:val="28"/>
                <w:szCs w:val="28"/>
                <w:lang w:eastAsia="ru-RU"/>
              </w:rPr>
              <w:t>Общегосударственные вопросы</w:t>
            </w:r>
          </w:p>
        </w:tc>
        <w:tc>
          <w:tcPr>
            <w:tcW w:type="dxa" w:w="22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color w:val="000000"/>
                <w:sz w:val="28"/>
                <w:szCs w:val="28"/>
                <w:lang w:eastAsia="ru-RU"/>
              </w:rPr>
              <w:t>1983,511</w:t>
            </w:r>
          </w:p>
        </w:tc>
        <w:tc>
          <w:tcPr>
            <w:tcW w:type="dxa" w:w="22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color w:val="000000"/>
                <w:sz w:val="28"/>
                <w:szCs w:val="28"/>
                <w:lang w:eastAsia="ru-RU"/>
              </w:rPr>
              <w:t>41,7</w:t>
            </w:r>
          </w:p>
        </w:tc>
      </w:tr>
      <w:tr>
        <w:trPr>
          <w:trHeight w:hRule="atLeast" w:val="375"/>
          <w:cantSplit w:val="false"/>
        </w:trPr>
        <w:tc>
          <w:tcPr>
            <w:tcW w:type="dxa" w:w="106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color w:val="000000"/>
                <w:sz w:val="28"/>
                <w:szCs w:val="28"/>
                <w:lang w:eastAsia="ru-RU"/>
              </w:rPr>
              <w:t>04 00</w:t>
            </w:r>
          </w:p>
        </w:tc>
        <w:tc>
          <w:tcPr>
            <w:tcW w:type="dxa" w:w="39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color w:val="000000"/>
                <w:sz w:val="28"/>
                <w:szCs w:val="28"/>
                <w:lang w:eastAsia="ru-RU"/>
              </w:rPr>
              <w:t>Национальная экономика</w:t>
            </w:r>
          </w:p>
        </w:tc>
        <w:tc>
          <w:tcPr>
            <w:tcW w:type="dxa" w:w="22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color w:val="000000"/>
                <w:sz w:val="28"/>
                <w:szCs w:val="28"/>
                <w:lang w:eastAsia="ru-RU"/>
              </w:rPr>
              <w:t>2199,930</w:t>
            </w:r>
          </w:p>
        </w:tc>
        <w:tc>
          <w:tcPr>
            <w:tcW w:type="dxa" w:w="22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color w:val="000000"/>
                <w:sz w:val="28"/>
                <w:szCs w:val="28"/>
                <w:lang w:eastAsia="ru-RU"/>
              </w:rPr>
              <w:t>46,2</w:t>
            </w:r>
          </w:p>
        </w:tc>
      </w:tr>
      <w:tr>
        <w:trPr>
          <w:trHeight w:hRule="atLeast" w:val="900"/>
          <w:cantSplit w:val="false"/>
        </w:trPr>
        <w:tc>
          <w:tcPr>
            <w:tcW w:type="dxa" w:w="106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cs="Times New Roman" w:eastAsia="Times New Roman" w:hAnsi="Times New Roman"/>
                <w:color w:val="000000"/>
                <w:sz w:val="28"/>
                <w:szCs w:val="28"/>
                <w:lang w:eastAsia="ru-RU"/>
              </w:rPr>
              <w:t>08 01</w:t>
            </w:r>
          </w:p>
        </w:tc>
        <w:tc>
          <w:tcPr>
            <w:tcW w:type="dxa" w:w="390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cs="Times New Roman" w:eastAsia="Times New Roman" w:hAnsi="Times New Roman"/>
                <w:color w:val="000000"/>
                <w:sz w:val="28"/>
                <w:szCs w:val="28"/>
                <w:lang w:eastAsia="ru-RU"/>
              </w:rPr>
              <w:t>Культура</w:t>
            </w:r>
          </w:p>
        </w:tc>
        <w:tc>
          <w:tcPr>
            <w:tcW w:type="dxa" w:w="22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color w:val="000000"/>
                <w:sz w:val="28"/>
                <w:szCs w:val="28"/>
                <w:lang w:eastAsia="ru-RU"/>
              </w:rPr>
              <w:t>576,000</w:t>
            </w:r>
          </w:p>
        </w:tc>
        <w:tc>
          <w:tcPr>
            <w:tcW w:type="dxa" w:w="22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color w:val="000000"/>
                <w:sz w:val="28"/>
                <w:szCs w:val="28"/>
                <w:lang w:eastAsia="ru-RU"/>
              </w:rPr>
              <w:t>12,1</w:t>
            </w:r>
          </w:p>
        </w:tc>
      </w:tr>
      <w:tr>
        <w:trPr>
          <w:trHeight w:hRule="atLeast" w:val="375"/>
          <w:cantSplit w:val="false"/>
        </w:trPr>
        <w:tc>
          <w:tcPr>
            <w:tcW w:type="dxa" w:w="4970"/>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spacing w:after="0" w:before="0" w:line="100" w:lineRule="atLeast"/>
              <w:ind w:firstLine="1968" w:left="0" w:right="0"/>
            </w:pPr>
            <w:r>
              <w:rPr>
                <w:rFonts w:ascii="Times New Roman" w:cs="Times New Roman" w:eastAsia="Times New Roman" w:hAnsi="Times New Roman"/>
                <w:b/>
                <w:bCs/>
                <w:color w:val="000000"/>
                <w:sz w:val="28"/>
                <w:szCs w:val="28"/>
                <w:lang w:eastAsia="ru-RU"/>
              </w:rPr>
              <w:t>ВСЕГО</w:t>
            </w:r>
          </w:p>
        </w:tc>
        <w:tc>
          <w:tcPr>
            <w:tcW w:type="dxa" w:w="227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b/>
                <w:bCs/>
                <w:color w:val="000000"/>
                <w:sz w:val="28"/>
                <w:szCs w:val="28"/>
                <w:lang w:eastAsia="ru-RU"/>
              </w:rPr>
              <w:t>4759,441</w:t>
            </w:r>
          </w:p>
        </w:tc>
        <w:tc>
          <w:tcPr>
            <w:tcW w:type="dxa" w:w="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right"/>
            </w:pPr>
            <w:r>
              <w:rPr>
                <w:rFonts w:ascii="Times New Roman" w:cs="Times New Roman" w:eastAsia="Times New Roman" w:hAnsi="Times New Roman"/>
                <w:b/>
                <w:bCs/>
                <w:color w:val="000000"/>
                <w:sz w:val="28"/>
                <w:szCs w:val="28"/>
                <w:lang w:eastAsia="ru-RU"/>
              </w:rPr>
              <w:t>100</w:t>
            </w:r>
          </w:p>
        </w:tc>
      </w:tr>
    </w:tbl>
    <w:p>
      <w:pPr>
        <w:pStyle w:val="style0"/>
        <w:spacing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Согласно прилагаемых к проекту решения перечней программ сельского поселения Красная Поляна  муниципального района Пестравский Самарской области, расходной частью бюджета сельского поселения предусмотрено финансирование за счет собственных средств на 2021 год – 2199,930 тыс. рублей.</w:t>
      </w:r>
    </w:p>
    <w:p>
      <w:pPr>
        <w:pStyle w:val="style0"/>
        <w:tabs>
          <w:tab w:leader="none" w:pos="426" w:val="left"/>
          <w:tab w:leader="none" w:pos="708" w:val="left"/>
        </w:tabs>
        <w:spacing w:after="0" w:before="0" w:line="100" w:lineRule="atLeast"/>
        <w:jc w:val="both"/>
      </w:pPr>
      <w:r>
        <w:rPr>
          <w:rFonts w:ascii="Times New Roman" w:cs="Times New Roman" w:hAnsi="Times New Roman"/>
          <w:sz w:val="28"/>
          <w:szCs w:val="28"/>
        </w:rPr>
        <w:t xml:space="preserve">      </w:t>
      </w:r>
      <w:bookmarkStart w:id="0" w:name="_GoBack"/>
      <w:bookmarkEnd w:id="0"/>
      <w:r>
        <w:rPr>
          <w:rFonts w:ascii="Times New Roman" w:cs="Times New Roman" w:hAnsi="Times New Roman"/>
          <w:sz w:val="28"/>
          <w:szCs w:val="28"/>
        </w:rPr>
        <w:t xml:space="preserve">                                                 Выводы</w:t>
      </w:r>
    </w:p>
    <w:p>
      <w:pPr>
        <w:pStyle w:val="style0"/>
        <w:tabs>
          <w:tab w:leader="none" w:pos="426" w:val="left"/>
          <w:tab w:leader="none" w:pos="708" w:val="left"/>
        </w:tabs>
        <w:spacing w:after="0" w:before="0" w:line="100" w:lineRule="atLeast"/>
        <w:jc w:val="both"/>
      </w:pPr>
      <w:r>
        <w:rPr/>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Проект бюджета сельского поселения Красная Поляна муниципального района Пестравский Самарской области на 2021 год подготовлен с учетом требований БК РФ, содержит все основные характеристики, предусмотренные ст.184.1., ст.184.2 БК РФ.</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Прогнозируемый объем резервного фонда сельского поселения на 2021 год соответствует требованиям ст.81 БК РФ (не может превышать 3 процента утвержденного общего объема расходов) и составляет- 1 тыс. рублей.</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      </w:t>
      </w:r>
      <w:r>
        <w:rPr>
          <w:rFonts w:ascii="Times New Roman" w:cs="Times New Roman" w:hAnsi="Times New Roman"/>
          <w:sz w:val="28"/>
          <w:szCs w:val="28"/>
        </w:rPr>
        <w:t>С учетом вышеизложенного комиссия по бюджету и имущественным отношениям  Собрания представителей сельского поселения Красная Поляна муниципального района Пестравский Самарской области  считает возможным рассмотрение проекта решения Собрания представителей сельского поселения Красная Поляна муниципального района Пестравский Самарской области «О бюджете сельского поселения Красная Поляна муниципального района Пестравский Самарской области на 2021 год» в первом чтении.</w:t>
      </w:r>
    </w:p>
    <w:p>
      <w:pPr>
        <w:pStyle w:val="style0"/>
        <w:tabs>
          <w:tab w:leader="none" w:pos="708" w:val="left"/>
          <w:tab w:leader="none" w:pos="4677" w:val="center"/>
          <w:tab w:leader="none" w:pos="6936" w:val="left"/>
        </w:tabs>
        <w:jc w:val="both"/>
      </w:pPr>
      <w:r>
        <w:rPr/>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Председатель</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 xml:space="preserve">комиссии по бюджету </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и имущественным отношениям</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Собрания представителей</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сельского поселения Красная Поляна</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муниципального района Пестравский</w:t>
      </w:r>
    </w:p>
    <w:p>
      <w:pPr>
        <w:pStyle w:val="style0"/>
        <w:tabs>
          <w:tab w:leader="none" w:pos="708" w:val="left"/>
          <w:tab w:leader="none" w:pos="4677" w:val="center"/>
          <w:tab w:leader="none" w:pos="6936" w:val="left"/>
        </w:tabs>
        <w:spacing w:after="0" w:before="0" w:line="100" w:lineRule="atLeast"/>
        <w:jc w:val="both"/>
      </w:pPr>
      <w:r>
        <w:rPr>
          <w:rFonts w:ascii="Times New Roman" w:cs="Times New Roman" w:hAnsi="Times New Roman"/>
          <w:sz w:val="28"/>
          <w:szCs w:val="28"/>
        </w:rPr>
        <w:t>Самарской области                                                                        Г.Н. Золова</w:t>
      </w:r>
    </w:p>
    <w:sectPr>
      <w:footerReference r:id="rId2" w:type="default"/>
      <w:type w:val="nextPage"/>
      <w:pgSz w:h="16838" w:w="11906"/>
      <w:pgMar w:bottom="1686" w:footer="1134" w:gutter="0" w:header="0" w:left="1701" w:right="850" w:top="708"/>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widowControl/>
      <w:tabs>
        <w:tab w:leader="none" w:pos="708" w:val="left"/>
      </w:tabs>
      <w:suppressAutoHyphens w:val="true"/>
      <w:spacing w:after="160" w:before="0" w:line="254" w:lineRule="auto"/>
    </w:pPr>
    <w:r>
      <w:rPr/>
    </w:r>
  </w:p>
</w:ftr>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4" w:lineRule="auto"/>
    </w:pPr>
    <w:rPr>
      <w:rFonts w:ascii="Calibri" w:cs="Calibri" w:eastAsia="SimSun" w:hAnsi="Calibri"/>
      <w:color w:val="00000A"/>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Верхний колонтитул Знак"/>
    <w:basedOn w:val="style15"/>
    <w:next w:val="style17"/>
    <w:rPr>
      <w:rFonts w:ascii="Times New Roman" w:cs="Times New Roman" w:eastAsia="Times New Roman" w:hAnsi="Times New Roman"/>
      <w:sz w:val="28"/>
      <w:szCs w:val="28"/>
      <w:lang w:eastAsia="ru-RU"/>
    </w:rPr>
  </w:style>
  <w:style w:styleId="style18" w:type="character">
    <w:name w:val="page number"/>
    <w:basedOn w:val="style15"/>
    <w:next w:val="style18"/>
    <w:rPr/>
  </w:style>
  <w:style w:styleId="style19" w:type="character">
    <w:name w:val="Нижний колонтитул Знак"/>
    <w:basedOn w:val="style15"/>
    <w:next w:val="style19"/>
    <w:rPr/>
  </w:style>
  <w:style w:styleId="style20" w:type="paragraph">
    <w:name w:val="Заголовок"/>
    <w:basedOn w:val="style0"/>
    <w:next w:val="style21"/>
    <w:pPr>
      <w:keepNext/>
      <w:spacing w:after="120" w:before="240"/>
    </w:pPr>
    <w:rPr>
      <w:rFonts w:ascii="Arial" w:cs="Mangal" w:eastAsia="Microsoft YaHei" w:hAnsi="Arial"/>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Balloon Text"/>
    <w:basedOn w:val="style0"/>
    <w:next w:val="style25"/>
    <w:pPr>
      <w:spacing w:after="0" w:before="0" w:line="100" w:lineRule="atLeast"/>
    </w:pPr>
    <w:rPr>
      <w:rFonts w:ascii="Segoe UI" w:cs="Segoe UI" w:hAnsi="Segoe UI"/>
      <w:sz w:val="18"/>
      <w:szCs w:val="18"/>
    </w:rPr>
  </w:style>
  <w:style w:styleId="style26" w:type="paragraph">
    <w:name w:val="Верхний колонтитул"/>
    <w:basedOn w:val="style0"/>
    <w:next w:val="style26"/>
    <w:pPr>
      <w:widowControl w:val="false"/>
      <w:suppressLineNumbers/>
      <w:tabs>
        <w:tab w:leader="none" w:pos="-30" w:val="left"/>
        <w:tab w:leader="none" w:pos="4153" w:val="center"/>
        <w:tab w:leader="none" w:pos="8306" w:val="right"/>
      </w:tabs>
      <w:spacing w:after="0" w:before="0" w:line="100" w:lineRule="atLeast"/>
      <w:ind w:firstLine="539" w:left="0" w:right="0"/>
      <w:jc w:val="both"/>
    </w:pPr>
    <w:rPr>
      <w:rFonts w:ascii="Times New Roman" w:cs="Times New Roman" w:eastAsia="Times New Roman" w:hAnsi="Times New Roman"/>
      <w:sz w:val="28"/>
      <w:szCs w:val="28"/>
      <w:lang w:eastAsia="ru-RU"/>
    </w:rPr>
  </w:style>
  <w:style w:styleId="style27" w:type="paragraph">
    <w:name w:val="Нижний колонтитул"/>
    <w:basedOn w:val="style0"/>
    <w:next w:val="style27"/>
    <w:pPr>
      <w:suppressLineNumbers/>
      <w:tabs>
        <w:tab w:leader="none" w:pos="4677" w:val="center"/>
        <w:tab w:leader="none" w:pos="9355"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2020-11-16T10:40:00.00Z</dcterms:created>
  <dc:creator>Марина Данчева</dc:creator>
  <cp:lastModifiedBy>Батова</cp:lastModifiedBy>
  <cp:lastPrinted>2020-11-16T07:07:00.00Z</cp:lastPrinted>
  <dcterms:modified xsi:type="dcterms:W3CDTF">2020-11-17T04:59:00.00Z</dcterms:modified>
  <cp:revision>15</cp:revision>
</cp:coreProperties>
</file>